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280" w:lin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ANEXO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(Para agentes culturais optantes pelas cotas étnico-raciais – pessoas negras ou pessoas indígenas)</w:t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 (informar se é pessoa NEGRA OU INDÍGENA).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3048577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1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-622299</wp:posOffset>
              </wp:positionH>
              <wp:positionV relativeFrom="paragraph">
                <wp:posOffset>-134677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-622299</wp:posOffset>
              </wp:positionH>
              <wp:positionV relativeFrom="paragraph">
                <wp:posOffset>-134677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bVdxhDro5wFcyKPOtW9auQhw1w==">CgMxLjA4AHIhMTFscEJ1aTZ1SU9qcVZPQ3FVdzNFQTQ5b3AtNVdwTnZ0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